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E6F5" w14:textId="202F51D9" w:rsidR="0037396B" w:rsidRPr="009A72A5" w:rsidRDefault="0085197B" w:rsidP="009A72A5">
      <w:pPr>
        <w:pStyle w:val="NoSpacing"/>
        <w:rPr>
          <w:b/>
          <w:noProof/>
          <w:sz w:val="50"/>
          <w:szCs w:val="50"/>
        </w:rPr>
      </w:pPr>
      <w:r w:rsidRPr="009A72A5">
        <w:rPr>
          <w:rFonts w:ascii="Arial" w:hAnsi="Arial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9A72A5">
        <w:rPr>
          <w:b/>
          <w:noProof/>
          <w:sz w:val="50"/>
          <w:szCs w:val="50"/>
        </w:rPr>
        <w:t>Workington Town Council</w:t>
      </w:r>
    </w:p>
    <w:p w14:paraId="42424CB3" w14:textId="7CF009F8" w:rsidR="0037396B" w:rsidRPr="009A72A5" w:rsidRDefault="005A0B06" w:rsidP="009A72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Town Hall, Oxford Street, Workington, CA14 2RS</w:t>
      </w:r>
    </w:p>
    <w:p w14:paraId="04854712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Telephone: 01900 702986</w:t>
      </w:r>
    </w:p>
    <w:p w14:paraId="0804416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Email: office@workingtontowncouncil.gov.uk</w:t>
      </w:r>
    </w:p>
    <w:p w14:paraId="264EBBCE" w14:textId="77777777" w:rsidR="0037396B" w:rsidRPr="009A72A5" w:rsidRDefault="0037396B" w:rsidP="009A72A5">
      <w:pPr>
        <w:pStyle w:val="NoSpacing"/>
        <w:rPr>
          <w:rFonts w:ascii="Arial" w:hAnsi="Arial" w:cs="Arial"/>
        </w:rPr>
      </w:pPr>
      <w:r w:rsidRPr="009A72A5">
        <w:rPr>
          <w:rFonts w:ascii="Arial" w:hAnsi="Arial" w:cs="Arial"/>
        </w:rPr>
        <w:t>Website: www.workingtontowncouncil.gov.uk</w:t>
      </w:r>
    </w:p>
    <w:p w14:paraId="35879312" w14:textId="77777777" w:rsidR="0037396B" w:rsidRPr="00BD2B09" w:rsidRDefault="0037396B" w:rsidP="009A72A5">
      <w:pPr>
        <w:pStyle w:val="NoSpacing"/>
        <w:rPr>
          <w:rFonts w:ascii="Arial" w:hAnsi="Arial"/>
        </w:rPr>
      </w:pPr>
    </w:p>
    <w:p w14:paraId="0E9C8190" w14:textId="77777777" w:rsidR="004C0E28" w:rsidRDefault="004C0E28" w:rsidP="004C0E28">
      <w:pPr>
        <w:spacing w:after="100" w:afterAutospacing="1"/>
        <w:contextualSpacing/>
        <w:rPr>
          <w:rFonts w:ascii="Arial" w:hAnsi="Arial" w:cs="Arial"/>
          <w:b/>
          <w:bCs/>
        </w:rPr>
      </w:pPr>
    </w:p>
    <w:p w14:paraId="7540DD7F" w14:textId="39785A03" w:rsidR="004C0E28" w:rsidRDefault="0066444B" w:rsidP="004C0E28">
      <w:pPr>
        <w:autoSpaceDE w:val="0"/>
        <w:autoSpaceDN w:val="0"/>
        <w:adjustRightInd w:val="0"/>
        <w:spacing w:after="160" w:line="240" w:lineRule="auto"/>
        <w:rPr>
          <w:rFonts w:ascii="Arial" w:eastAsia="Aptos" w:hAnsi="Arial" w:cs="Arial"/>
          <w:b/>
          <w:bCs/>
          <w:color w:val="000000"/>
          <w:sz w:val="36"/>
          <w:szCs w:val="28"/>
          <w:u w:val="single"/>
        </w:rPr>
      </w:pPr>
      <w:r>
        <w:rPr>
          <w:rFonts w:ascii="Arial" w:eastAsia="Aptos" w:hAnsi="Arial" w:cs="Arial"/>
          <w:b/>
          <w:bCs/>
          <w:color w:val="000000"/>
          <w:sz w:val="36"/>
          <w:szCs w:val="28"/>
          <w:u w:val="single"/>
        </w:rPr>
        <w:t>I</w:t>
      </w:r>
      <w:r w:rsidR="0064546F">
        <w:rPr>
          <w:rFonts w:ascii="Arial" w:eastAsia="Aptos" w:hAnsi="Arial" w:cs="Arial"/>
          <w:b/>
          <w:bCs/>
          <w:color w:val="000000"/>
          <w:sz w:val="36"/>
          <w:szCs w:val="28"/>
          <w:u w:val="single"/>
        </w:rPr>
        <w:t>nvestment Policy</w:t>
      </w:r>
    </w:p>
    <w:p w14:paraId="51C71272" w14:textId="77777777" w:rsidR="009A5DC4" w:rsidRDefault="009A5DC4" w:rsidP="004C0E28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b/>
          <w:bCs/>
        </w:rPr>
      </w:pPr>
    </w:p>
    <w:p w14:paraId="060099AA" w14:textId="77777777" w:rsidR="0066444B" w:rsidRPr="009A5DC4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9A5DC4">
        <w:rPr>
          <w:rFonts w:ascii="Arial" w:hAnsi="Arial" w:cs="Arial"/>
          <w:b/>
          <w:bCs/>
        </w:rPr>
        <w:t>1. Purpose</w:t>
      </w:r>
    </w:p>
    <w:p w14:paraId="6013C681" w14:textId="6FD92EE0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The purpose of this Investment Policy is to establish the guidelines and framework for the investment of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 xml:space="preserve">ouncil funds. This policy is intended to help ensure that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 funds are managed responsibly, in line with applicable laws and ethical standards, and in a manner that maximi</w:t>
      </w:r>
      <w:r w:rsidR="009A5DC4">
        <w:rPr>
          <w:rFonts w:ascii="Arial" w:hAnsi="Arial" w:cs="Arial"/>
        </w:rPr>
        <w:t>s</w:t>
      </w:r>
      <w:r w:rsidRPr="0066444B">
        <w:rPr>
          <w:rFonts w:ascii="Arial" w:hAnsi="Arial" w:cs="Arial"/>
        </w:rPr>
        <w:t>es returns while minimi</w:t>
      </w:r>
      <w:r w:rsidR="009A5DC4">
        <w:rPr>
          <w:rFonts w:ascii="Arial" w:hAnsi="Arial" w:cs="Arial"/>
        </w:rPr>
        <w:t>s</w:t>
      </w:r>
      <w:r w:rsidRPr="0066444B">
        <w:rPr>
          <w:rFonts w:ascii="Arial" w:hAnsi="Arial" w:cs="Arial"/>
        </w:rPr>
        <w:t>ing risk.</w:t>
      </w:r>
    </w:p>
    <w:p w14:paraId="71B32218" w14:textId="7A74E22B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002FEDC1" w14:textId="77777777" w:rsidR="0066444B" w:rsidRPr="009A5DC4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9A5DC4">
        <w:rPr>
          <w:rFonts w:ascii="Arial" w:hAnsi="Arial" w:cs="Arial"/>
          <w:b/>
          <w:bCs/>
        </w:rPr>
        <w:t>2. Scope</w:t>
      </w:r>
    </w:p>
    <w:p w14:paraId="49C0C27B" w14:textId="7BADA7C8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This policy applies to all investments of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 funds, including reserves, earmarked funds, and any other surplus funds. It covers both short-term and long-term investments, ensuring that funds are managed prudently to achieve a balance of safety, liquidity, and return.</w:t>
      </w:r>
    </w:p>
    <w:p w14:paraId="02F1B976" w14:textId="697C5147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0E649E64" w14:textId="77777777" w:rsidR="0066444B" w:rsidRPr="009A5DC4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9A5DC4">
        <w:rPr>
          <w:rFonts w:ascii="Arial" w:hAnsi="Arial" w:cs="Arial"/>
          <w:b/>
          <w:bCs/>
        </w:rPr>
        <w:t>3. Objectives</w:t>
      </w:r>
    </w:p>
    <w:p w14:paraId="451D107C" w14:textId="378D7262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The primary objectives of the council's investment policy are:</w:t>
      </w:r>
    </w:p>
    <w:p w14:paraId="070E51B2" w14:textId="77777777" w:rsidR="0066444B" w:rsidRPr="0066444B" w:rsidRDefault="0066444B" w:rsidP="0066444B">
      <w:pPr>
        <w:numPr>
          <w:ilvl w:val="0"/>
          <w:numId w:val="61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Security of Capital: Ensure the protection of the capital value of investments.</w:t>
      </w:r>
    </w:p>
    <w:p w14:paraId="4B60DBAD" w14:textId="28E87E63" w:rsidR="0066444B" w:rsidRPr="0064546F" w:rsidRDefault="0066444B" w:rsidP="0066444B">
      <w:pPr>
        <w:numPr>
          <w:ilvl w:val="0"/>
          <w:numId w:val="61"/>
        </w:num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</w:rPr>
        <w:t>Liquidity: Ensure that sufficient liquidity is maintained to meet anticipated cash flow requirements.</w:t>
      </w:r>
    </w:p>
    <w:p w14:paraId="5DD856A9" w14:textId="77777777" w:rsidR="0066444B" w:rsidRPr="0066444B" w:rsidRDefault="0066444B" w:rsidP="0066444B">
      <w:pPr>
        <w:numPr>
          <w:ilvl w:val="0"/>
          <w:numId w:val="61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Yield: Aim to achieve a reasonable return within the constraints of security and liquidity.</w:t>
      </w:r>
    </w:p>
    <w:p w14:paraId="4F8170ED" w14:textId="4CBAF387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These objectives will be considered in the context of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ouncil’s financial obligations and future funding requirements.</w:t>
      </w:r>
    </w:p>
    <w:p w14:paraId="33D624A4" w14:textId="61470EAC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39487AAD" w14:textId="77777777" w:rsidR="0066444B" w:rsidRPr="009A5DC4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9A5DC4">
        <w:rPr>
          <w:rFonts w:ascii="Arial" w:hAnsi="Arial" w:cs="Arial"/>
          <w:b/>
          <w:bCs/>
        </w:rPr>
        <w:t>4. Investment Principles</w:t>
      </w:r>
    </w:p>
    <w:p w14:paraId="2C97032F" w14:textId="404EC27F" w:rsidR="0066444B" w:rsidRPr="0066444B" w:rsidRDefault="0066444B" w:rsidP="0066444B">
      <w:pPr>
        <w:numPr>
          <w:ilvl w:val="0"/>
          <w:numId w:val="62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Capital Preservation: Investments shall be made to safeguard </w:t>
      </w:r>
      <w:r w:rsidR="0064546F">
        <w:rPr>
          <w:rFonts w:ascii="Arial" w:hAnsi="Arial" w:cs="Arial"/>
        </w:rPr>
        <w:t>C</w:t>
      </w:r>
      <w:r w:rsidR="003B505B">
        <w:rPr>
          <w:rFonts w:ascii="Arial" w:hAnsi="Arial" w:cs="Arial"/>
        </w:rPr>
        <w:t>ouncil</w:t>
      </w:r>
      <w:r w:rsidRPr="0066444B">
        <w:rPr>
          <w:rFonts w:ascii="Arial" w:hAnsi="Arial" w:cs="Arial"/>
        </w:rPr>
        <w:t xml:space="preserve"> funds by minimi</w:t>
      </w:r>
      <w:r w:rsidR="003B505B">
        <w:rPr>
          <w:rFonts w:ascii="Arial" w:hAnsi="Arial" w:cs="Arial"/>
        </w:rPr>
        <w:t>s</w:t>
      </w:r>
      <w:r w:rsidRPr="0066444B">
        <w:rPr>
          <w:rFonts w:ascii="Arial" w:hAnsi="Arial" w:cs="Arial"/>
        </w:rPr>
        <w:t>ing exposure to capital loss.</w:t>
      </w:r>
    </w:p>
    <w:p w14:paraId="3861EEBA" w14:textId="26F86D49" w:rsidR="0066444B" w:rsidRPr="0066444B" w:rsidRDefault="0066444B" w:rsidP="0066444B">
      <w:pPr>
        <w:numPr>
          <w:ilvl w:val="0"/>
          <w:numId w:val="62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Ethical Considerations: Investments will be made in alignment with the ethical standards and values of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 xml:space="preserve">ouncil. Avoid investment in companies whose activities are inconsistent with the </w:t>
      </w:r>
      <w:r w:rsidR="0064546F">
        <w:rPr>
          <w:rFonts w:ascii="Arial" w:hAnsi="Arial" w:cs="Arial"/>
        </w:rPr>
        <w:t>C</w:t>
      </w:r>
      <w:r w:rsidR="003B505B">
        <w:rPr>
          <w:rFonts w:ascii="Arial" w:hAnsi="Arial" w:cs="Arial"/>
        </w:rPr>
        <w:t>ouncil</w:t>
      </w:r>
      <w:r w:rsidRPr="0066444B">
        <w:rPr>
          <w:rFonts w:ascii="Arial" w:hAnsi="Arial" w:cs="Arial"/>
        </w:rPr>
        <w:t>’s values, such as those with negative environmental or social impacts.</w:t>
      </w:r>
    </w:p>
    <w:p w14:paraId="20102871" w14:textId="77777777" w:rsidR="0066444B" w:rsidRPr="0066444B" w:rsidRDefault="0066444B" w:rsidP="0066444B">
      <w:pPr>
        <w:numPr>
          <w:ilvl w:val="0"/>
          <w:numId w:val="62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Legal Compliance: Investments will comply with relevant UK legislation, including the Local Government Act 2003 and associated guidance from the Ministry of Housing, Communities, and Local Government (MHCLG).</w:t>
      </w:r>
    </w:p>
    <w:p w14:paraId="26EC4CD8" w14:textId="77777777" w:rsidR="0066444B" w:rsidRDefault="0066444B" w:rsidP="0066444B">
      <w:pPr>
        <w:numPr>
          <w:ilvl w:val="0"/>
          <w:numId w:val="62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Transparency: All investment activities shall be conducted in a transparent manner, ensuring that decisions can be fully justified and subject to appropriate review and audit.</w:t>
      </w:r>
    </w:p>
    <w:p w14:paraId="6C47E23A" w14:textId="77777777" w:rsidR="0064546F" w:rsidRPr="0066444B" w:rsidRDefault="0064546F" w:rsidP="0064546F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524CD37C" w14:textId="7E0ABC50" w:rsid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027E9AC6" w14:textId="77777777" w:rsidR="003B505B" w:rsidRPr="0066444B" w:rsidRDefault="003B505B" w:rsidP="0066444B">
      <w:pPr>
        <w:spacing w:after="100" w:afterAutospacing="1"/>
        <w:contextualSpacing/>
        <w:rPr>
          <w:rFonts w:ascii="Arial" w:hAnsi="Arial" w:cs="Arial"/>
        </w:rPr>
      </w:pPr>
    </w:p>
    <w:p w14:paraId="685A0DCB" w14:textId="77777777" w:rsidR="0066444B" w:rsidRPr="003B505B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3B505B">
        <w:rPr>
          <w:rFonts w:ascii="Arial" w:hAnsi="Arial" w:cs="Arial"/>
          <w:b/>
          <w:bCs/>
        </w:rPr>
        <w:lastRenderedPageBreak/>
        <w:t>5. Permitted Investments</w:t>
      </w:r>
    </w:p>
    <w:p w14:paraId="675113E0" w14:textId="77777777" w:rsidR="0064546F" w:rsidRPr="0064546F" w:rsidRDefault="0064546F" w:rsidP="0064546F">
      <w:p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</w:rPr>
        <w:t>Typical permitted investments include:</w:t>
      </w:r>
    </w:p>
    <w:p w14:paraId="2C746A7E" w14:textId="77777777" w:rsidR="0064546F" w:rsidRPr="0064546F" w:rsidRDefault="0064546F" w:rsidP="0064546F">
      <w:pPr>
        <w:numPr>
          <w:ilvl w:val="0"/>
          <w:numId w:val="67"/>
        </w:num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  <w:b/>
          <w:bCs/>
        </w:rPr>
        <w:t>Bank Deposits</w:t>
      </w:r>
      <w:r w:rsidRPr="0064546F">
        <w:rPr>
          <w:rFonts w:ascii="Arial" w:hAnsi="Arial" w:cs="Arial"/>
        </w:rPr>
        <w:t>: Accounts and term deposits with high-credit-rated banks or building societies.</w:t>
      </w:r>
    </w:p>
    <w:p w14:paraId="09262FC1" w14:textId="77777777" w:rsidR="0064546F" w:rsidRPr="0064546F" w:rsidRDefault="0064546F" w:rsidP="0064546F">
      <w:pPr>
        <w:numPr>
          <w:ilvl w:val="0"/>
          <w:numId w:val="67"/>
        </w:num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  <w:b/>
          <w:bCs/>
        </w:rPr>
        <w:t>UK Government Gilts</w:t>
      </w:r>
      <w:r w:rsidRPr="0064546F">
        <w:rPr>
          <w:rFonts w:ascii="Arial" w:hAnsi="Arial" w:cs="Arial"/>
        </w:rPr>
        <w:t>: Low-risk government securities.</w:t>
      </w:r>
    </w:p>
    <w:p w14:paraId="1902B9A3" w14:textId="77777777" w:rsidR="0064546F" w:rsidRPr="0064546F" w:rsidRDefault="0064546F" w:rsidP="0064546F">
      <w:pPr>
        <w:numPr>
          <w:ilvl w:val="0"/>
          <w:numId w:val="67"/>
        </w:num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  <w:b/>
          <w:bCs/>
        </w:rPr>
        <w:t>Money Market Funds</w:t>
      </w:r>
      <w:r w:rsidRPr="0064546F">
        <w:rPr>
          <w:rFonts w:ascii="Arial" w:hAnsi="Arial" w:cs="Arial"/>
        </w:rPr>
        <w:t>: Short-term investments in highly liquid, low-risk instruments.</w:t>
      </w:r>
    </w:p>
    <w:p w14:paraId="18985060" w14:textId="77777777" w:rsidR="0064546F" w:rsidRPr="0064546F" w:rsidRDefault="0064546F" w:rsidP="0064546F">
      <w:pPr>
        <w:numPr>
          <w:ilvl w:val="0"/>
          <w:numId w:val="67"/>
        </w:num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  <w:b/>
          <w:bCs/>
        </w:rPr>
        <w:t>Local Authority Bonds</w:t>
      </w:r>
      <w:r w:rsidRPr="0064546F">
        <w:rPr>
          <w:rFonts w:ascii="Arial" w:hAnsi="Arial" w:cs="Arial"/>
        </w:rPr>
        <w:t>: Investments in bonds issued by other local authorities.</w:t>
      </w:r>
    </w:p>
    <w:p w14:paraId="26502228" w14:textId="77777777" w:rsidR="0064546F" w:rsidRPr="0064546F" w:rsidRDefault="0064546F" w:rsidP="0064546F">
      <w:pPr>
        <w:numPr>
          <w:ilvl w:val="0"/>
          <w:numId w:val="67"/>
        </w:num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  <w:b/>
          <w:bCs/>
        </w:rPr>
        <w:t>Corporate Bonds</w:t>
      </w:r>
      <w:r w:rsidRPr="0064546F">
        <w:rPr>
          <w:rFonts w:ascii="Arial" w:hAnsi="Arial" w:cs="Arial"/>
        </w:rPr>
        <w:t>: Investment-grade corporate bonds (subject to risk assessment).</w:t>
      </w:r>
    </w:p>
    <w:p w14:paraId="6B3B239B" w14:textId="1882D54B" w:rsidR="0064546F" w:rsidRPr="0064546F" w:rsidRDefault="0064546F" w:rsidP="0064546F">
      <w:pPr>
        <w:numPr>
          <w:ilvl w:val="0"/>
          <w:numId w:val="67"/>
        </w:numPr>
        <w:spacing w:after="100" w:afterAutospacing="1"/>
        <w:contextualSpacing/>
        <w:rPr>
          <w:rFonts w:ascii="Arial" w:hAnsi="Arial" w:cs="Arial"/>
        </w:rPr>
      </w:pPr>
      <w:r w:rsidRPr="0064546F">
        <w:rPr>
          <w:rFonts w:ascii="Arial" w:hAnsi="Arial" w:cs="Arial"/>
          <w:b/>
          <w:bCs/>
        </w:rPr>
        <w:t>Property</w:t>
      </w:r>
      <w:r w:rsidRPr="0064546F">
        <w:rPr>
          <w:rFonts w:ascii="Arial" w:hAnsi="Arial" w:cs="Arial"/>
        </w:rPr>
        <w:t xml:space="preserve">: Only when there is a clear benefit to the </w:t>
      </w:r>
      <w:r>
        <w:rPr>
          <w:rFonts w:ascii="Arial" w:hAnsi="Arial" w:cs="Arial"/>
        </w:rPr>
        <w:t>C</w:t>
      </w:r>
      <w:r w:rsidRPr="0064546F">
        <w:rPr>
          <w:rFonts w:ascii="Arial" w:hAnsi="Arial" w:cs="Arial"/>
        </w:rPr>
        <w:t>ouncil's functions and prudent management.</w:t>
      </w:r>
    </w:p>
    <w:p w14:paraId="64958ABB" w14:textId="37398299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Other investment options may be considered with specific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 approval and in line with legal and ethical requirements.</w:t>
      </w:r>
    </w:p>
    <w:p w14:paraId="57F81255" w14:textId="4E043FA6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62E41E05" w14:textId="77777777" w:rsidR="0066444B" w:rsidRPr="003B505B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3B505B">
        <w:rPr>
          <w:rFonts w:ascii="Arial" w:hAnsi="Arial" w:cs="Arial"/>
          <w:b/>
          <w:bCs/>
        </w:rPr>
        <w:t>6. Prohibited Investments</w:t>
      </w:r>
    </w:p>
    <w:p w14:paraId="6460892B" w14:textId="29882E6C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 will not engage in:</w:t>
      </w:r>
    </w:p>
    <w:p w14:paraId="667B3147" w14:textId="77777777" w:rsidR="0066444B" w:rsidRPr="0066444B" w:rsidRDefault="0066444B" w:rsidP="0066444B">
      <w:pPr>
        <w:numPr>
          <w:ilvl w:val="0"/>
          <w:numId w:val="64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Equity-based investments or derivatives.</w:t>
      </w:r>
    </w:p>
    <w:p w14:paraId="1F1E57E6" w14:textId="77777777" w:rsidR="0066444B" w:rsidRPr="0066444B" w:rsidRDefault="0066444B" w:rsidP="0066444B">
      <w:pPr>
        <w:numPr>
          <w:ilvl w:val="0"/>
          <w:numId w:val="64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High-risk investments, including unregulated investment products.</w:t>
      </w:r>
    </w:p>
    <w:p w14:paraId="6A1EC3A1" w14:textId="4201D18B" w:rsidR="0066444B" w:rsidRPr="0066444B" w:rsidRDefault="0066444B" w:rsidP="0066444B">
      <w:pPr>
        <w:numPr>
          <w:ilvl w:val="0"/>
          <w:numId w:val="64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Investments in institutions or entities that do not meet minimum credit rating standards set by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ouncil.</w:t>
      </w:r>
    </w:p>
    <w:p w14:paraId="3943F6B8" w14:textId="140A931C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7F5CB4A6" w14:textId="77777777" w:rsidR="0066444B" w:rsidRPr="003B505B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3B505B">
        <w:rPr>
          <w:rFonts w:ascii="Arial" w:hAnsi="Arial" w:cs="Arial"/>
          <w:b/>
          <w:bCs/>
        </w:rPr>
        <w:t>7. Risk Management</w:t>
      </w:r>
    </w:p>
    <w:p w14:paraId="228B5345" w14:textId="77777777" w:rsidR="0066444B" w:rsidRPr="0066444B" w:rsidRDefault="0066444B" w:rsidP="0066444B">
      <w:pPr>
        <w:numPr>
          <w:ilvl w:val="0"/>
          <w:numId w:val="65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Credit Risk: Invest only in institutions with high credit ratings (AAA or equivalent).</w:t>
      </w:r>
    </w:p>
    <w:p w14:paraId="5606476C" w14:textId="77777777" w:rsidR="0066444B" w:rsidRPr="0066444B" w:rsidRDefault="0066444B" w:rsidP="0066444B">
      <w:pPr>
        <w:numPr>
          <w:ilvl w:val="0"/>
          <w:numId w:val="65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Interest Rate Risk: Structure investments to mitigate the impact of fluctuations in interest rates, especially for longer-term funds.</w:t>
      </w:r>
    </w:p>
    <w:p w14:paraId="49EECD68" w14:textId="77777777" w:rsidR="0066444B" w:rsidRPr="0066444B" w:rsidRDefault="0066444B" w:rsidP="0066444B">
      <w:pPr>
        <w:numPr>
          <w:ilvl w:val="0"/>
          <w:numId w:val="65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Liquidity Risk: Maintain adequate short-term deposits to cover the council’s liquidity needs.</w:t>
      </w:r>
    </w:p>
    <w:p w14:paraId="694ADA15" w14:textId="0E519606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Periodic reviews of investment risk and creditworthiness of institutions will be conducted by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ouncil.</w:t>
      </w:r>
    </w:p>
    <w:p w14:paraId="779D4685" w14:textId="74BA4E71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67A755EC" w14:textId="77777777" w:rsidR="0066444B" w:rsidRPr="003B505B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3B505B">
        <w:rPr>
          <w:rFonts w:ascii="Arial" w:hAnsi="Arial" w:cs="Arial"/>
          <w:b/>
          <w:bCs/>
        </w:rPr>
        <w:t>8. Monitoring and Reporting</w:t>
      </w:r>
    </w:p>
    <w:p w14:paraId="19983772" w14:textId="156CB4FC" w:rsidR="0066444B" w:rsidRPr="0066444B" w:rsidRDefault="0066444B" w:rsidP="0066444B">
      <w:pPr>
        <w:numPr>
          <w:ilvl w:val="0"/>
          <w:numId w:val="66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>Quarterly Review: Investments will be reviewed quarterly to assess performance and ensure alignment with th</w:t>
      </w:r>
      <w:r w:rsidR="0064546F">
        <w:rPr>
          <w:rFonts w:ascii="Arial" w:hAnsi="Arial" w:cs="Arial"/>
        </w:rPr>
        <w:t>is policy</w:t>
      </w:r>
      <w:r w:rsidRPr="0066444B">
        <w:rPr>
          <w:rFonts w:ascii="Arial" w:hAnsi="Arial" w:cs="Arial"/>
        </w:rPr>
        <w:t>.</w:t>
      </w:r>
    </w:p>
    <w:p w14:paraId="7F93DBCA" w14:textId="4FA1B58A" w:rsidR="0066444B" w:rsidRPr="0066444B" w:rsidRDefault="0066444B" w:rsidP="0066444B">
      <w:pPr>
        <w:numPr>
          <w:ilvl w:val="0"/>
          <w:numId w:val="66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Annual Reporting: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 will receive an annual report detailing the performance and status of all investments.</w:t>
      </w:r>
    </w:p>
    <w:p w14:paraId="6663CA3E" w14:textId="12B68CC0" w:rsidR="0066444B" w:rsidRPr="0066444B" w:rsidRDefault="0066444B" w:rsidP="0066444B">
      <w:pPr>
        <w:numPr>
          <w:ilvl w:val="0"/>
          <w:numId w:val="66"/>
        </w:num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External Audit: Investment practices will be audited annually as part of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ouncil's financial audit process</w:t>
      </w:r>
      <w:r w:rsidR="00C81131">
        <w:rPr>
          <w:rFonts w:ascii="Arial" w:hAnsi="Arial" w:cs="Arial"/>
        </w:rPr>
        <w:t>, if required by the external auditor</w:t>
      </w:r>
      <w:r w:rsidRPr="0066444B">
        <w:rPr>
          <w:rFonts w:ascii="Arial" w:hAnsi="Arial" w:cs="Arial"/>
        </w:rPr>
        <w:t>.</w:t>
      </w:r>
    </w:p>
    <w:p w14:paraId="1D52A217" w14:textId="2A604AE0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0620FF9C" w14:textId="77777777" w:rsidR="0066444B" w:rsidRPr="003B505B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3B505B">
        <w:rPr>
          <w:rFonts w:ascii="Arial" w:hAnsi="Arial" w:cs="Arial"/>
          <w:b/>
          <w:bCs/>
        </w:rPr>
        <w:t>9. Delegation of Authority</w:t>
      </w:r>
    </w:p>
    <w:p w14:paraId="3AFAC070" w14:textId="0AB5210D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The </w:t>
      </w:r>
      <w:r w:rsidR="0064546F">
        <w:rPr>
          <w:rFonts w:ascii="Arial" w:hAnsi="Arial" w:cs="Arial"/>
        </w:rPr>
        <w:t xml:space="preserve">committee responsible for </w:t>
      </w:r>
      <w:r w:rsidRPr="0066444B">
        <w:rPr>
          <w:rFonts w:ascii="Arial" w:hAnsi="Arial" w:cs="Arial"/>
        </w:rPr>
        <w:t xml:space="preserve">managing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ouncil’s investments is delegated to the Finance</w:t>
      </w:r>
      <w:r w:rsidR="0064546F">
        <w:rPr>
          <w:rFonts w:ascii="Arial" w:hAnsi="Arial" w:cs="Arial"/>
        </w:rPr>
        <w:t xml:space="preserve"> and General Purposes</w:t>
      </w:r>
      <w:r w:rsidRPr="0066444B">
        <w:rPr>
          <w:rFonts w:ascii="Arial" w:hAnsi="Arial" w:cs="Arial"/>
        </w:rPr>
        <w:t xml:space="preserve"> Committee </w:t>
      </w:r>
      <w:r w:rsidR="0064546F">
        <w:rPr>
          <w:rFonts w:ascii="Arial" w:hAnsi="Arial" w:cs="Arial"/>
        </w:rPr>
        <w:t>alongside the Chief Officer/RFO</w:t>
      </w:r>
      <w:r w:rsidRPr="0066444B">
        <w:rPr>
          <w:rFonts w:ascii="Arial" w:hAnsi="Arial" w:cs="Arial"/>
        </w:rPr>
        <w:t xml:space="preserve">, which will administer the investments in line with this policy. Any investment decision outside the scope of this policy requires approval by </w:t>
      </w:r>
      <w:r w:rsidR="0064546F">
        <w:rPr>
          <w:rFonts w:ascii="Arial" w:hAnsi="Arial" w:cs="Arial"/>
        </w:rPr>
        <w:t>F</w:t>
      </w:r>
      <w:r w:rsidRPr="0066444B">
        <w:rPr>
          <w:rFonts w:ascii="Arial" w:hAnsi="Arial" w:cs="Arial"/>
        </w:rPr>
        <w:t xml:space="preserve">ull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ouncil.</w:t>
      </w:r>
    </w:p>
    <w:p w14:paraId="40B56E71" w14:textId="4B2536BC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</w:p>
    <w:p w14:paraId="0B5AB228" w14:textId="77777777" w:rsidR="0066444B" w:rsidRPr="003B505B" w:rsidRDefault="0066444B" w:rsidP="0066444B">
      <w:pPr>
        <w:spacing w:after="100" w:afterAutospacing="1"/>
        <w:contextualSpacing/>
        <w:rPr>
          <w:rFonts w:ascii="Arial" w:hAnsi="Arial" w:cs="Arial"/>
          <w:b/>
          <w:bCs/>
        </w:rPr>
      </w:pPr>
      <w:r w:rsidRPr="003B505B">
        <w:rPr>
          <w:rFonts w:ascii="Arial" w:hAnsi="Arial" w:cs="Arial"/>
          <w:b/>
          <w:bCs/>
        </w:rPr>
        <w:t>10. Policy Review</w:t>
      </w:r>
    </w:p>
    <w:p w14:paraId="3171587D" w14:textId="5D0348AC" w:rsidR="0066444B" w:rsidRPr="0066444B" w:rsidRDefault="0066444B" w:rsidP="0066444B">
      <w:pPr>
        <w:spacing w:after="100" w:afterAutospacing="1"/>
        <w:contextualSpacing/>
        <w:rPr>
          <w:rFonts w:ascii="Arial" w:hAnsi="Arial" w:cs="Arial"/>
        </w:rPr>
      </w:pPr>
      <w:r w:rsidRPr="0066444B">
        <w:rPr>
          <w:rFonts w:ascii="Arial" w:hAnsi="Arial" w:cs="Arial"/>
        </w:rPr>
        <w:t xml:space="preserve">This policy shall be reviewed annually or more frequently as required to ensure that it remains relevant and appropriate given the </w:t>
      </w:r>
      <w:r w:rsidR="0064546F">
        <w:rPr>
          <w:rFonts w:ascii="Arial" w:hAnsi="Arial" w:cs="Arial"/>
        </w:rPr>
        <w:t>C</w:t>
      </w:r>
      <w:r w:rsidRPr="0066444B">
        <w:rPr>
          <w:rFonts w:ascii="Arial" w:hAnsi="Arial" w:cs="Arial"/>
        </w:rPr>
        <w:t>ouncil's financial situation, statutory changes, and market conditions.</w:t>
      </w:r>
    </w:p>
    <w:p w14:paraId="0C56D01E" w14:textId="77777777" w:rsidR="004C0E28" w:rsidRDefault="004C0E28" w:rsidP="004C0E28">
      <w:pPr>
        <w:spacing w:after="100" w:afterAutospacing="1"/>
        <w:contextualSpacing/>
        <w:rPr>
          <w:rFonts w:ascii="Arial" w:hAnsi="Arial" w:cs="Arial"/>
          <w:b/>
          <w:bCs/>
        </w:rPr>
      </w:pPr>
    </w:p>
    <w:sectPr w:rsidR="004C0E28" w:rsidSect="00317973">
      <w:footerReference w:type="default" r:id="rId8"/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7346" w14:textId="77777777" w:rsidR="00944E5F" w:rsidRDefault="00944E5F" w:rsidP="00944E5F">
      <w:pPr>
        <w:spacing w:after="0" w:line="240" w:lineRule="auto"/>
      </w:pPr>
      <w:r>
        <w:separator/>
      </w:r>
    </w:p>
  </w:endnote>
  <w:endnote w:type="continuationSeparator" w:id="0">
    <w:p w14:paraId="09587154" w14:textId="77777777" w:rsidR="00944E5F" w:rsidRDefault="00944E5F" w:rsidP="009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231E" w14:textId="6D3EFD29" w:rsidR="00944E5F" w:rsidRDefault="0001422B" w:rsidP="00944E5F">
    <w:pPr>
      <w:pStyle w:val="Footer"/>
    </w:pPr>
    <w:r>
      <w:t>Approved at Full Council on 29.01.2025, minute 24.126a</w:t>
    </w:r>
    <w:r w:rsidR="00944E5F">
      <w:tab/>
    </w:r>
    <w:sdt>
      <w:sdtPr>
        <w:id w:val="1209766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4E5F">
          <w:fldChar w:fldCharType="begin"/>
        </w:r>
        <w:r w:rsidR="00944E5F">
          <w:instrText xml:space="preserve"> PAGE   \* MERGEFORMAT </w:instrText>
        </w:r>
        <w:r w:rsidR="00944E5F">
          <w:fldChar w:fldCharType="separate"/>
        </w:r>
        <w:r w:rsidR="007F15BA">
          <w:rPr>
            <w:noProof/>
          </w:rPr>
          <w:t>1</w:t>
        </w:r>
        <w:r w:rsidR="00944E5F">
          <w:rPr>
            <w:noProof/>
          </w:rPr>
          <w:fldChar w:fldCharType="end"/>
        </w:r>
      </w:sdtContent>
    </w:sdt>
  </w:p>
  <w:p w14:paraId="5006ED5E" w14:textId="77777777" w:rsidR="00944E5F" w:rsidRDefault="0094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E750" w14:textId="77777777" w:rsidR="00944E5F" w:rsidRDefault="00944E5F" w:rsidP="00944E5F">
      <w:pPr>
        <w:spacing w:after="0" w:line="240" w:lineRule="auto"/>
      </w:pPr>
      <w:r>
        <w:separator/>
      </w:r>
    </w:p>
  </w:footnote>
  <w:footnote w:type="continuationSeparator" w:id="0">
    <w:p w14:paraId="196BF866" w14:textId="77777777" w:rsidR="00944E5F" w:rsidRDefault="00944E5F" w:rsidP="009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874"/>
    <w:multiLevelType w:val="hybridMultilevel"/>
    <w:tmpl w:val="90CC63BC"/>
    <w:lvl w:ilvl="0" w:tplc="A732D8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599"/>
    <w:multiLevelType w:val="hybridMultilevel"/>
    <w:tmpl w:val="0DAC0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19C"/>
    <w:multiLevelType w:val="hybridMultilevel"/>
    <w:tmpl w:val="23E08F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B5663"/>
    <w:multiLevelType w:val="hybridMultilevel"/>
    <w:tmpl w:val="F2343954"/>
    <w:lvl w:ilvl="0" w:tplc="D9DED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56BDE"/>
    <w:multiLevelType w:val="multilevel"/>
    <w:tmpl w:val="F6D8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4D61"/>
    <w:multiLevelType w:val="hybridMultilevel"/>
    <w:tmpl w:val="B170A138"/>
    <w:lvl w:ilvl="0" w:tplc="03D45960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C96F71"/>
    <w:multiLevelType w:val="hybridMultilevel"/>
    <w:tmpl w:val="2B80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ACB"/>
    <w:multiLevelType w:val="multilevel"/>
    <w:tmpl w:val="6B74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D30EEF"/>
    <w:multiLevelType w:val="hybridMultilevel"/>
    <w:tmpl w:val="4FBC3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3F1916"/>
    <w:multiLevelType w:val="hybridMultilevel"/>
    <w:tmpl w:val="F55A1328"/>
    <w:lvl w:ilvl="0" w:tplc="5B789CA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60D28"/>
    <w:multiLevelType w:val="multilevel"/>
    <w:tmpl w:val="DCD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E69C7"/>
    <w:multiLevelType w:val="hybridMultilevel"/>
    <w:tmpl w:val="F432B580"/>
    <w:lvl w:ilvl="0" w:tplc="7B4A67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F304E"/>
    <w:multiLevelType w:val="multilevel"/>
    <w:tmpl w:val="CAF0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E636F2"/>
    <w:multiLevelType w:val="hybridMultilevel"/>
    <w:tmpl w:val="59208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CB3B4C"/>
    <w:multiLevelType w:val="hybridMultilevel"/>
    <w:tmpl w:val="4A365436"/>
    <w:lvl w:ilvl="0" w:tplc="C894749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9D125FF"/>
    <w:multiLevelType w:val="hybridMultilevel"/>
    <w:tmpl w:val="D51C0F92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212BDA"/>
    <w:multiLevelType w:val="hybridMultilevel"/>
    <w:tmpl w:val="EE0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22707"/>
    <w:multiLevelType w:val="hybridMultilevel"/>
    <w:tmpl w:val="039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25E6E"/>
    <w:multiLevelType w:val="multilevel"/>
    <w:tmpl w:val="D84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650C3B"/>
    <w:multiLevelType w:val="multilevel"/>
    <w:tmpl w:val="E83C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BD238D"/>
    <w:multiLevelType w:val="multilevel"/>
    <w:tmpl w:val="1FF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5076F4"/>
    <w:multiLevelType w:val="multilevel"/>
    <w:tmpl w:val="67C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F74347"/>
    <w:multiLevelType w:val="hybridMultilevel"/>
    <w:tmpl w:val="6AAA644C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C083AB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7A61CB"/>
    <w:multiLevelType w:val="hybridMultilevel"/>
    <w:tmpl w:val="DBFE6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5B549F4"/>
    <w:multiLevelType w:val="hybridMultilevel"/>
    <w:tmpl w:val="43BA9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776C4"/>
    <w:multiLevelType w:val="hybridMultilevel"/>
    <w:tmpl w:val="442A7C16"/>
    <w:lvl w:ilvl="0" w:tplc="EA7C51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4B0D9D"/>
    <w:multiLevelType w:val="multilevel"/>
    <w:tmpl w:val="02B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313BA3"/>
    <w:multiLevelType w:val="hybridMultilevel"/>
    <w:tmpl w:val="4CCC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222FC"/>
    <w:multiLevelType w:val="multilevel"/>
    <w:tmpl w:val="964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0E730E"/>
    <w:multiLevelType w:val="hybridMultilevel"/>
    <w:tmpl w:val="07C22048"/>
    <w:lvl w:ilvl="0" w:tplc="80ACA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13781C"/>
    <w:multiLevelType w:val="hybridMultilevel"/>
    <w:tmpl w:val="399A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A4BE2"/>
    <w:multiLevelType w:val="hybridMultilevel"/>
    <w:tmpl w:val="C68A3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0E0743"/>
    <w:multiLevelType w:val="multilevel"/>
    <w:tmpl w:val="A712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2F1E18"/>
    <w:multiLevelType w:val="multilevel"/>
    <w:tmpl w:val="781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91269E"/>
    <w:multiLevelType w:val="multilevel"/>
    <w:tmpl w:val="679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DB4212"/>
    <w:multiLevelType w:val="multilevel"/>
    <w:tmpl w:val="DD7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5648441A"/>
    <w:multiLevelType w:val="multilevel"/>
    <w:tmpl w:val="BB62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58398D"/>
    <w:multiLevelType w:val="multilevel"/>
    <w:tmpl w:val="4354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F95C20"/>
    <w:multiLevelType w:val="hybridMultilevel"/>
    <w:tmpl w:val="D0F8791E"/>
    <w:lvl w:ilvl="0" w:tplc="64685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83E1CD6"/>
    <w:multiLevelType w:val="multilevel"/>
    <w:tmpl w:val="DEE4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52717C"/>
    <w:multiLevelType w:val="hybridMultilevel"/>
    <w:tmpl w:val="FDE4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460F0"/>
    <w:multiLevelType w:val="multilevel"/>
    <w:tmpl w:val="446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135952"/>
    <w:multiLevelType w:val="hybridMultilevel"/>
    <w:tmpl w:val="3A80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2E5B86"/>
    <w:multiLevelType w:val="hybridMultilevel"/>
    <w:tmpl w:val="B6EC04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3832A3"/>
    <w:multiLevelType w:val="multilevel"/>
    <w:tmpl w:val="996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FA3A1E"/>
    <w:multiLevelType w:val="multilevel"/>
    <w:tmpl w:val="A8E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401C56"/>
    <w:multiLevelType w:val="hybridMultilevel"/>
    <w:tmpl w:val="A3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64344C"/>
    <w:multiLevelType w:val="multilevel"/>
    <w:tmpl w:val="1FB48C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88B70AF"/>
    <w:multiLevelType w:val="hybridMultilevel"/>
    <w:tmpl w:val="9716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2C1820"/>
    <w:multiLevelType w:val="hybridMultilevel"/>
    <w:tmpl w:val="8CF8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145102"/>
    <w:multiLevelType w:val="hybridMultilevel"/>
    <w:tmpl w:val="21C4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AB110A"/>
    <w:multiLevelType w:val="hybridMultilevel"/>
    <w:tmpl w:val="AD0C1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24E7A19"/>
    <w:multiLevelType w:val="hybridMultilevel"/>
    <w:tmpl w:val="4BEE7890"/>
    <w:lvl w:ilvl="0" w:tplc="C802AA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38F08E5"/>
    <w:multiLevelType w:val="hybridMultilevel"/>
    <w:tmpl w:val="CC80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C87E73"/>
    <w:multiLevelType w:val="hybridMultilevel"/>
    <w:tmpl w:val="42F04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0B7F8E"/>
    <w:multiLevelType w:val="hybridMultilevel"/>
    <w:tmpl w:val="37587636"/>
    <w:lvl w:ilvl="0" w:tplc="8410BC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53C5BFC"/>
    <w:multiLevelType w:val="hybridMultilevel"/>
    <w:tmpl w:val="110AEC2A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480F4A"/>
    <w:multiLevelType w:val="hybridMultilevel"/>
    <w:tmpl w:val="22D4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276B28"/>
    <w:multiLevelType w:val="multilevel"/>
    <w:tmpl w:val="403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D3274F"/>
    <w:multiLevelType w:val="hybridMultilevel"/>
    <w:tmpl w:val="6C047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E1E0F3F"/>
    <w:multiLevelType w:val="hybridMultilevel"/>
    <w:tmpl w:val="3A74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02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4656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700933">
    <w:abstractNumId w:val="56"/>
  </w:num>
  <w:num w:numId="4" w16cid:durableId="1269243308">
    <w:abstractNumId w:val="16"/>
  </w:num>
  <w:num w:numId="5" w16cid:durableId="1470636884">
    <w:abstractNumId w:val="29"/>
  </w:num>
  <w:num w:numId="6" w16cid:durableId="1569076591">
    <w:abstractNumId w:val="5"/>
  </w:num>
  <w:num w:numId="7" w16cid:durableId="1531868934">
    <w:abstractNumId w:val="44"/>
  </w:num>
  <w:num w:numId="8" w16cid:durableId="1851944795">
    <w:abstractNumId w:val="64"/>
  </w:num>
  <w:num w:numId="9" w16cid:durableId="1105542100">
    <w:abstractNumId w:val="62"/>
  </w:num>
  <w:num w:numId="10" w16cid:durableId="818962517">
    <w:abstractNumId w:val="13"/>
  </w:num>
  <w:num w:numId="11" w16cid:durableId="1153595364">
    <w:abstractNumId w:val="51"/>
  </w:num>
  <w:num w:numId="12" w16cid:durableId="1131241755">
    <w:abstractNumId w:val="46"/>
  </w:num>
  <w:num w:numId="13" w16cid:durableId="1619873996">
    <w:abstractNumId w:val="0"/>
  </w:num>
  <w:num w:numId="14" w16cid:durableId="511648580">
    <w:abstractNumId w:val="33"/>
  </w:num>
  <w:num w:numId="15" w16cid:durableId="475537537">
    <w:abstractNumId w:val="50"/>
  </w:num>
  <w:num w:numId="16" w16cid:durableId="1761950343">
    <w:abstractNumId w:val="65"/>
  </w:num>
  <w:num w:numId="17" w16cid:durableId="874774628">
    <w:abstractNumId w:val="58"/>
  </w:num>
  <w:num w:numId="18" w16cid:durableId="241765105">
    <w:abstractNumId w:val="54"/>
  </w:num>
  <w:num w:numId="19" w16cid:durableId="685521897">
    <w:abstractNumId w:val="8"/>
  </w:num>
  <w:num w:numId="20" w16cid:durableId="835152785">
    <w:abstractNumId w:val="17"/>
  </w:num>
  <w:num w:numId="21" w16cid:durableId="497813080">
    <w:abstractNumId w:val="47"/>
  </w:num>
  <w:num w:numId="22" w16cid:durableId="671562844">
    <w:abstractNumId w:val="34"/>
  </w:num>
  <w:num w:numId="23" w16cid:durableId="1810897407">
    <w:abstractNumId w:val="53"/>
  </w:num>
  <w:num w:numId="24" w16cid:durableId="229970267">
    <w:abstractNumId w:val="61"/>
  </w:num>
  <w:num w:numId="25" w16cid:durableId="2115206971">
    <w:abstractNumId w:val="1"/>
  </w:num>
  <w:num w:numId="26" w16cid:durableId="579339181">
    <w:abstractNumId w:val="14"/>
  </w:num>
  <w:num w:numId="27" w16cid:durableId="122233985">
    <w:abstractNumId w:val="42"/>
  </w:num>
  <w:num w:numId="28" w16cid:durableId="1420101063">
    <w:abstractNumId w:val="22"/>
  </w:num>
  <w:num w:numId="29" w16cid:durableId="1773551620">
    <w:abstractNumId w:val="9"/>
  </w:num>
  <w:num w:numId="30" w16cid:durableId="1338383442">
    <w:abstractNumId w:val="26"/>
  </w:num>
  <w:num w:numId="31" w16cid:durableId="2146266213">
    <w:abstractNumId w:val="55"/>
  </w:num>
  <w:num w:numId="32" w16cid:durableId="1067606586">
    <w:abstractNumId w:val="3"/>
  </w:num>
  <w:num w:numId="33" w16cid:durableId="1584217250">
    <w:abstractNumId w:val="32"/>
  </w:num>
  <w:num w:numId="34" w16cid:durableId="1122575867">
    <w:abstractNumId w:val="27"/>
  </w:num>
  <w:num w:numId="35" w16cid:durableId="910429029">
    <w:abstractNumId w:val="23"/>
  </w:num>
  <w:num w:numId="36" w16cid:durableId="1723479487">
    <w:abstractNumId w:val="15"/>
  </w:num>
  <w:num w:numId="37" w16cid:durableId="1634168252">
    <w:abstractNumId w:val="25"/>
  </w:num>
  <w:num w:numId="38" w16cid:durableId="673262987">
    <w:abstractNumId w:val="30"/>
  </w:num>
  <w:num w:numId="39" w16cid:durableId="984893494">
    <w:abstractNumId w:val="6"/>
  </w:num>
  <w:num w:numId="40" w16cid:durableId="1443458912">
    <w:abstractNumId w:val="52"/>
  </w:num>
  <w:num w:numId="41" w16cid:durableId="1435176610">
    <w:abstractNumId w:val="2"/>
  </w:num>
  <w:num w:numId="42" w16cid:durableId="2044548962">
    <w:abstractNumId w:val="24"/>
  </w:num>
  <w:num w:numId="43" w16cid:durableId="1258640170">
    <w:abstractNumId w:val="11"/>
  </w:num>
  <w:num w:numId="44" w16cid:durableId="1235627912">
    <w:abstractNumId w:val="59"/>
  </w:num>
  <w:num w:numId="45" w16cid:durableId="1995259845">
    <w:abstractNumId w:val="57"/>
  </w:num>
  <w:num w:numId="46" w16cid:durableId="512380344">
    <w:abstractNumId w:val="60"/>
  </w:num>
  <w:num w:numId="47" w16cid:durableId="1705136684">
    <w:abstractNumId w:val="19"/>
  </w:num>
  <w:num w:numId="48" w16cid:durableId="1786272769">
    <w:abstractNumId w:val="18"/>
  </w:num>
  <w:num w:numId="49" w16cid:durableId="2022587871">
    <w:abstractNumId w:val="4"/>
  </w:num>
  <w:num w:numId="50" w16cid:durableId="2010330219">
    <w:abstractNumId w:val="36"/>
  </w:num>
  <w:num w:numId="51" w16cid:durableId="339357470">
    <w:abstractNumId w:val="21"/>
  </w:num>
  <w:num w:numId="52" w16cid:durableId="840001925">
    <w:abstractNumId w:val="45"/>
  </w:num>
  <w:num w:numId="53" w16cid:durableId="801113352">
    <w:abstractNumId w:val="38"/>
  </w:num>
  <w:num w:numId="54" w16cid:durableId="130514916">
    <w:abstractNumId w:val="28"/>
  </w:num>
  <w:num w:numId="55" w16cid:durableId="2052457422">
    <w:abstractNumId w:val="63"/>
  </w:num>
  <w:num w:numId="56" w16cid:durableId="247887004">
    <w:abstractNumId w:val="10"/>
  </w:num>
  <w:num w:numId="57" w16cid:durableId="798111279">
    <w:abstractNumId w:val="43"/>
  </w:num>
  <w:num w:numId="58" w16cid:durableId="1810435950">
    <w:abstractNumId w:val="48"/>
  </w:num>
  <w:num w:numId="59" w16cid:durableId="916790470">
    <w:abstractNumId w:val="20"/>
  </w:num>
  <w:num w:numId="60" w16cid:durableId="1623918065">
    <w:abstractNumId w:val="7"/>
  </w:num>
  <w:num w:numId="61" w16cid:durableId="430206992">
    <w:abstractNumId w:val="31"/>
  </w:num>
  <w:num w:numId="62" w16cid:durableId="1036545633">
    <w:abstractNumId w:val="40"/>
  </w:num>
  <w:num w:numId="63" w16cid:durableId="487743632">
    <w:abstractNumId w:val="49"/>
  </w:num>
  <w:num w:numId="64" w16cid:durableId="499927270">
    <w:abstractNumId w:val="35"/>
  </w:num>
  <w:num w:numId="65" w16cid:durableId="2133011448">
    <w:abstractNumId w:val="41"/>
  </w:num>
  <w:num w:numId="66" w16cid:durableId="1609696199">
    <w:abstractNumId w:val="12"/>
  </w:num>
  <w:num w:numId="67" w16cid:durableId="16798859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B"/>
    <w:rsid w:val="00004441"/>
    <w:rsid w:val="00006C99"/>
    <w:rsid w:val="00007EDE"/>
    <w:rsid w:val="0001422B"/>
    <w:rsid w:val="00023415"/>
    <w:rsid w:val="00024931"/>
    <w:rsid w:val="00024D6E"/>
    <w:rsid w:val="000254BA"/>
    <w:rsid w:val="00031921"/>
    <w:rsid w:val="00040A65"/>
    <w:rsid w:val="00042AD5"/>
    <w:rsid w:val="000449B8"/>
    <w:rsid w:val="00072478"/>
    <w:rsid w:val="00076079"/>
    <w:rsid w:val="00076C43"/>
    <w:rsid w:val="00077ABF"/>
    <w:rsid w:val="000821DA"/>
    <w:rsid w:val="000A5576"/>
    <w:rsid w:val="000D193E"/>
    <w:rsid w:val="000D5A6E"/>
    <w:rsid w:val="000F20DF"/>
    <w:rsid w:val="00110FDD"/>
    <w:rsid w:val="001410CD"/>
    <w:rsid w:val="00143095"/>
    <w:rsid w:val="001446C7"/>
    <w:rsid w:val="00150473"/>
    <w:rsid w:val="00155848"/>
    <w:rsid w:val="00157052"/>
    <w:rsid w:val="00171453"/>
    <w:rsid w:val="00176AF8"/>
    <w:rsid w:val="00184352"/>
    <w:rsid w:val="001848BB"/>
    <w:rsid w:val="00186043"/>
    <w:rsid w:val="00194E55"/>
    <w:rsid w:val="001A18C8"/>
    <w:rsid w:val="001A7857"/>
    <w:rsid w:val="001B11C3"/>
    <w:rsid w:val="001B2242"/>
    <w:rsid w:val="001B3BA2"/>
    <w:rsid w:val="001C412E"/>
    <w:rsid w:val="001C5242"/>
    <w:rsid w:val="001D62A1"/>
    <w:rsid w:val="001D6526"/>
    <w:rsid w:val="001F0C2A"/>
    <w:rsid w:val="001F1BC8"/>
    <w:rsid w:val="001F2DCF"/>
    <w:rsid w:val="001F2E0C"/>
    <w:rsid w:val="001F4C76"/>
    <w:rsid w:val="0020743A"/>
    <w:rsid w:val="0021035B"/>
    <w:rsid w:val="00213DC4"/>
    <w:rsid w:val="002178FE"/>
    <w:rsid w:val="0023304B"/>
    <w:rsid w:val="00256D6D"/>
    <w:rsid w:val="002646C4"/>
    <w:rsid w:val="00272D5F"/>
    <w:rsid w:val="002752B2"/>
    <w:rsid w:val="00287635"/>
    <w:rsid w:val="0029054A"/>
    <w:rsid w:val="00294892"/>
    <w:rsid w:val="002A2C30"/>
    <w:rsid w:val="002A3785"/>
    <w:rsid w:val="002A7E7B"/>
    <w:rsid w:val="002B37DF"/>
    <w:rsid w:val="002C005C"/>
    <w:rsid w:val="002C5262"/>
    <w:rsid w:val="002D76F3"/>
    <w:rsid w:val="002F1911"/>
    <w:rsid w:val="0031091D"/>
    <w:rsid w:val="00315553"/>
    <w:rsid w:val="00317973"/>
    <w:rsid w:val="003459DF"/>
    <w:rsid w:val="003530A2"/>
    <w:rsid w:val="003546D0"/>
    <w:rsid w:val="00366000"/>
    <w:rsid w:val="0037333A"/>
    <w:rsid w:val="0037396B"/>
    <w:rsid w:val="00375F8C"/>
    <w:rsid w:val="003873B6"/>
    <w:rsid w:val="00391D0C"/>
    <w:rsid w:val="003921EB"/>
    <w:rsid w:val="00392901"/>
    <w:rsid w:val="003A1063"/>
    <w:rsid w:val="003A2D4C"/>
    <w:rsid w:val="003B2175"/>
    <w:rsid w:val="003B505B"/>
    <w:rsid w:val="003B7AF8"/>
    <w:rsid w:val="003C5678"/>
    <w:rsid w:val="003D12DD"/>
    <w:rsid w:val="003E1986"/>
    <w:rsid w:val="004215AA"/>
    <w:rsid w:val="00442DD7"/>
    <w:rsid w:val="00443B1D"/>
    <w:rsid w:val="00443D1A"/>
    <w:rsid w:val="00456869"/>
    <w:rsid w:val="00457BA7"/>
    <w:rsid w:val="00463F06"/>
    <w:rsid w:val="00464FB6"/>
    <w:rsid w:val="004A1FC7"/>
    <w:rsid w:val="004A5BB7"/>
    <w:rsid w:val="004A5C74"/>
    <w:rsid w:val="004A7E9B"/>
    <w:rsid w:val="004C0E28"/>
    <w:rsid w:val="004C2BEB"/>
    <w:rsid w:val="004D15D7"/>
    <w:rsid w:val="004D57E7"/>
    <w:rsid w:val="004E798B"/>
    <w:rsid w:val="00506676"/>
    <w:rsid w:val="0050698C"/>
    <w:rsid w:val="00514E07"/>
    <w:rsid w:val="00534063"/>
    <w:rsid w:val="005358D1"/>
    <w:rsid w:val="00535FD5"/>
    <w:rsid w:val="005466A6"/>
    <w:rsid w:val="005472C8"/>
    <w:rsid w:val="0055468B"/>
    <w:rsid w:val="00557A48"/>
    <w:rsid w:val="00560789"/>
    <w:rsid w:val="005633C5"/>
    <w:rsid w:val="00590DF0"/>
    <w:rsid w:val="005A0B06"/>
    <w:rsid w:val="005A0E74"/>
    <w:rsid w:val="005B1BAD"/>
    <w:rsid w:val="005B5503"/>
    <w:rsid w:val="005C0774"/>
    <w:rsid w:val="005D48E1"/>
    <w:rsid w:val="005D621D"/>
    <w:rsid w:val="005E2634"/>
    <w:rsid w:val="005F35ED"/>
    <w:rsid w:val="005F3637"/>
    <w:rsid w:val="005F399D"/>
    <w:rsid w:val="00602C44"/>
    <w:rsid w:val="00603D23"/>
    <w:rsid w:val="00623D16"/>
    <w:rsid w:val="00632E57"/>
    <w:rsid w:val="00634B6B"/>
    <w:rsid w:val="0063522B"/>
    <w:rsid w:val="00636BE2"/>
    <w:rsid w:val="00636F54"/>
    <w:rsid w:val="0064546F"/>
    <w:rsid w:val="006508A6"/>
    <w:rsid w:val="006552D6"/>
    <w:rsid w:val="00662907"/>
    <w:rsid w:val="0066444B"/>
    <w:rsid w:val="00685888"/>
    <w:rsid w:val="006944B7"/>
    <w:rsid w:val="006A64FA"/>
    <w:rsid w:val="006A7B60"/>
    <w:rsid w:val="006B2712"/>
    <w:rsid w:val="006B302D"/>
    <w:rsid w:val="006B7E6B"/>
    <w:rsid w:val="006C1387"/>
    <w:rsid w:val="006C21D2"/>
    <w:rsid w:val="006D3777"/>
    <w:rsid w:val="006D6ACD"/>
    <w:rsid w:val="006E0E5B"/>
    <w:rsid w:val="006E1B74"/>
    <w:rsid w:val="006E2C53"/>
    <w:rsid w:val="006E7438"/>
    <w:rsid w:val="006F26D8"/>
    <w:rsid w:val="006F4D3C"/>
    <w:rsid w:val="00701520"/>
    <w:rsid w:val="00710A4F"/>
    <w:rsid w:val="00724412"/>
    <w:rsid w:val="007355B6"/>
    <w:rsid w:val="007463E0"/>
    <w:rsid w:val="00754181"/>
    <w:rsid w:val="00756CE4"/>
    <w:rsid w:val="00761A00"/>
    <w:rsid w:val="00781EBA"/>
    <w:rsid w:val="007940E9"/>
    <w:rsid w:val="007A08E5"/>
    <w:rsid w:val="007B5656"/>
    <w:rsid w:val="007C074A"/>
    <w:rsid w:val="007C1A80"/>
    <w:rsid w:val="007D5AE1"/>
    <w:rsid w:val="007E006B"/>
    <w:rsid w:val="007E776A"/>
    <w:rsid w:val="007E7C03"/>
    <w:rsid w:val="007F15BA"/>
    <w:rsid w:val="007F37FC"/>
    <w:rsid w:val="007F48BC"/>
    <w:rsid w:val="0080480D"/>
    <w:rsid w:val="00815AB1"/>
    <w:rsid w:val="00821C8C"/>
    <w:rsid w:val="0082284D"/>
    <w:rsid w:val="00824624"/>
    <w:rsid w:val="00824708"/>
    <w:rsid w:val="00837E5B"/>
    <w:rsid w:val="00842146"/>
    <w:rsid w:val="008435CB"/>
    <w:rsid w:val="0085197B"/>
    <w:rsid w:val="00866CE7"/>
    <w:rsid w:val="008816F6"/>
    <w:rsid w:val="00885877"/>
    <w:rsid w:val="00895A89"/>
    <w:rsid w:val="008A0014"/>
    <w:rsid w:val="008A0C8D"/>
    <w:rsid w:val="008B068E"/>
    <w:rsid w:val="008C12AF"/>
    <w:rsid w:val="008C15E2"/>
    <w:rsid w:val="008C37E9"/>
    <w:rsid w:val="008C7752"/>
    <w:rsid w:val="008E14DD"/>
    <w:rsid w:val="008E2D10"/>
    <w:rsid w:val="008F388B"/>
    <w:rsid w:val="008F738D"/>
    <w:rsid w:val="0090790A"/>
    <w:rsid w:val="00907AA2"/>
    <w:rsid w:val="00907CE5"/>
    <w:rsid w:val="009240F5"/>
    <w:rsid w:val="009315D9"/>
    <w:rsid w:val="009410D3"/>
    <w:rsid w:val="009448C9"/>
    <w:rsid w:val="00944E5F"/>
    <w:rsid w:val="00946CAE"/>
    <w:rsid w:val="009536E5"/>
    <w:rsid w:val="009615F8"/>
    <w:rsid w:val="00966012"/>
    <w:rsid w:val="00975769"/>
    <w:rsid w:val="009812CF"/>
    <w:rsid w:val="009A4D68"/>
    <w:rsid w:val="009A5DC4"/>
    <w:rsid w:val="009A72A5"/>
    <w:rsid w:val="009B3B73"/>
    <w:rsid w:val="009D3748"/>
    <w:rsid w:val="009D391F"/>
    <w:rsid w:val="009D5CC7"/>
    <w:rsid w:val="009E2E65"/>
    <w:rsid w:val="009E4E2A"/>
    <w:rsid w:val="009E53D0"/>
    <w:rsid w:val="009E7258"/>
    <w:rsid w:val="009E7313"/>
    <w:rsid w:val="00A00337"/>
    <w:rsid w:val="00A00CC5"/>
    <w:rsid w:val="00A108B4"/>
    <w:rsid w:val="00A14FE1"/>
    <w:rsid w:val="00A332F7"/>
    <w:rsid w:val="00A34FDB"/>
    <w:rsid w:val="00A4062E"/>
    <w:rsid w:val="00A44157"/>
    <w:rsid w:val="00A45F65"/>
    <w:rsid w:val="00A51E65"/>
    <w:rsid w:val="00A52C17"/>
    <w:rsid w:val="00A57788"/>
    <w:rsid w:val="00A6278F"/>
    <w:rsid w:val="00A65155"/>
    <w:rsid w:val="00A6556E"/>
    <w:rsid w:val="00A7595F"/>
    <w:rsid w:val="00A8402F"/>
    <w:rsid w:val="00A94D90"/>
    <w:rsid w:val="00AA2B2F"/>
    <w:rsid w:val="00AA4ED6"/>
    <w:rsid w:val="00AA6C74"/>
    <w:rsid w:val="00AB7DEF"/>
    <w:rsid w:val="00AC35DF"/>
    <w:rsid w:val="00AD003B"/>
    <w:rsid w:val="00AD1A54"/>
    <w:rsid w:val="00AD22D5"/>
    <w:rsid w:val="00AF010F"/>
    <w:rsid w:val="00AF1BC6"/>
    <w:rsid w:val="00AF3BAE"/>
    <w:rsid w:val="00B15629"/>
    <w:rsid w:val="00B23515"/>
    <w:rsid w:val="00B24992"/>
    <w:rsid w:val="00B3035F"/>
    <w:rsid w:val="00B31085"/>
    <w:rsid w:val="00B37AE4"/>
    <w:rsid w:val="00B44F9F"/>
    <w:rsid w:val="00B53924"/>
    <w:rsid w:val="00B56E30"/>
    <w:rsid w:val="00B679F2"/>
    <w:rsid w:val="00B7019F"/>
    <w:rsid w:val="00B7499C"/>
    <w:rsid w:val="00B92415"/>
    <w:rsid w:val="00B97B52"/>
    <w:rsid w:val="00BA3D8A"/>
    <w:rsid w:val="00BB26EC"/>
    <w:rsid w:val="00BB7C97"/>
    <w:rsid w:val="00BC6328"/>
    <w:rsid w:val="00BD274D"/>
    <w:rsid w:val="00BD2B09"/>
    <w:rsid w:val="00BD5714"/>
    <w:rsid w:val="00BD66FB"/>
    <w:rsid w:val="00BF03EE"/>
    <w:rsid w:val="00BF5509"/>
    <w:rsid w:val="00C15824"/>
    <w:rsid w:val="00C1731C"/>
    <w:rsid w:val="00C220EF"/>
    <w:rsid w:val="00C2590B"/>
    <w:rsid w:val="00C35B33"/>
    <w:rsid w:val="00C401FC"/>
    <w:rsid w:val="00C422C8"/>
    <w:rsid w:val="00C53D3C"/>
    <w:rsid w:val="00C5461F"/>
    <w:rsid w:val="00C603B8"/>
    <w:rsid w:val="00C645BB"/>
    <w:rsid w:val="00C6586A"/>
    <w:rsid w:val="00C663D2"/>
    <w:rsid w:val="00C81131"/>
    <w:rsid w:val="00C81E3A"/>
    <w:rsid w:val="00C83ADD"/>
    <w:rsid w:val="00CB23F4"/>
    <w:rsid w:val="00CD215A"/>
    <w:rsid w:val="00CD5C21"/>
    <w:rsid w:val="00CE0941"/>
    <w:rsid w:val="00CE2710"/>
    <w:rsid w:val="00CE79E8"/>
    <w:rsid w:val="00CF0136"/>
    <w:rsid w:val="00CF2087"/>
    <w:rsid w:val="00D109B8"/>
    <w:rsid w:val="00D12EBB"/>
    <w:rsid w:val="00D15D97"/>
    <w:rsid w:val="00D24829"/>
    <w:rsid w:val="00D26972"/>
    <w:rsid w:val="00D303BF"/>
    <w:rsid w:val="00D32396"/>
    <w:rsid w:val="00D3248D"/>
    <w:rsid w:val="00D33984"/>
    <w:rsid w:val="00D415E3"/>
    <w:rsid w:val="00D42336"/>
    <w:rsid w:val="00D46994"/>
    <w:rsid w:val="00D53FA3"/>
    <w:rsid w:val="00D60A77"/>
    <w:rsid w:val="00D81248"/>
    <w:rsid w:val="00D83DDA"/>
    <w:rsid w:val="00D8569E"/>
    <w:rsid w:val="00D8739E"/>
    <w:rsid w:val="00D949D3"/>
    <w:rsid w:val="00D96C14"/>
    <w:rsid w:val="00DB341F"/>
    <w:rsid w:val="00DB5472"/>
    <w:rsid w:val="00DE047F"/>
    <w:rsid w:val="00DE094F"/>
    <w:rsid w:val="00DE3F63"/>
    <w:rsid w:val="00DE5750"/>
    <w:rsid w:val="00DF31D0"/>
    <w:rsid w:val="00E213E6"/>
    <w:rsid w:val="00E237ED"/>
    <w:rsid w:val="00E242BA"/>
    <w:rsid w:val="00E2769B"/>
    <w:rsid w:val="00E354C1"/>
    <w:rsid w:val="00E36845"/>
    <w:rsid w:val="00E4162B"/>
    <w:rsid w:val="00E44002"/>
    <w:rsid w:val="00E45054"/>
    <w:rsid w:val="00E51203"/>
    <w:rsid w:val="00E56461"/>
    <w:rsid w:val="00E5740C"/>
    <w:rsid w:val="00E639CE"/>
    <w:rsid w:val="00E655A9"/>
    <w:rsid w:val="00E707F4"/>
    <w:rsid w:val="00E73FEE"/>
    <w:rsid w:val="00E8037A"/>
    <w:rsid w:val="00E9138C"/>
    <w:rsid w:val="00EA07CA"/>
    <w:rsid w:val="00EA6DDE"/>
    <w:rsid w:val="00EB163C"/>
    <w:rsid w:val="00EC060A"/>
    <w:rsid w:val="00ED1309"/>
    <w:rsid w:val="00ED3FCB"/>
    <w:rsid w:val="00ED502E"/>
    <w:rsid w:val="00ED5C8C"/>
    <w:rsid w:val="00ED7A60"/>
    <w:rsid w:val="00EE022F"/>
    <w:rsid w:val="00EF53FE"/>
    <w:rsid w:val="00F00F01"/>
    <w:rsid w:val="00F10F73"/>
    <w:rsid w:val="00F32D81"/>
    <w:rsid w:val="00F34803"/>
    <w:rsid w:val="00F43FDA"/>
    <w:rsid w:val="00F46764"/>
    <w:rsid w:val="00F70B60"/>
    <w:rsid w:val="00F77AE6"/>
    <w:rsid w:val="00F82DB6"/>
    <w:rsid w:val="00F84982"/>
    <w:rsid w:val="00F90C8C"/>
    <w:rsid w:val="00FA31BF"/>
    <w:rsid w:val="00FB6A18"/>
    <w:rsid w:val="00FC4E4A"/>
    <w:rsid w:val="00FC7E8A"/>
    <w:rsid w:val="00FD4ECE"/>
    <w:rsid w:val="00FE4DDC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  <w14:docId w14:val="2D29C0AB"/>
  <w15:chartTrackingRefBased/>
  <w15:docId w15:val="{2DF624BE-1A78-4A76-B219-F379FBF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qFormat/>
    <w:rsid w:val="00AD22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E5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C0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dc:description/>
  <cp:lastModifiedBy>Emma Chapman</cp:lastModifiedBy>
  <cp:revision>6</cp:revision>
  <cp:lastPrinted>2024-09-20T10:21:00Z</cp:lastPrinted>
  <dcterms:created xsi:type="dcterms:W3CDTF">2024-11-05T14:51:00Z</dcterms:created>
  <dcterms:modified xsi:type="dcterms:W3CDTF">2025-01-30T11:41:00Z</dcterms:modified>
</cp:coreProperties>
</file>